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136</w:t>
      </w:r>
    </w:p>
    <w:p>
      <w:r>
        <w:t>Bundesgericht (BGE), 1994-05-10, FR</w:t>
      </w:r>
    </w:p>
    <w:p>
      <w:r>
        <w:rPr>
          <w:b/>
        </w:rPr>
        <w:t xml:space="preserve">Quelle: </w:t>
      </w:r>
      <w:r>
        <w:t>https://mcp.opencaselaw.ch/entscheid/bge_120 IV 136</w:t>
      </w:r>
    </w:p>
    <w:p>
      <w:r>
        <w:t>FR: ATF 120 IV 136</w:t>
      </w:r>
    </w:p>
    <w:p>
      <w:r>
        <w:t>IT: DTF 120 IV 136</w:t>
      </w:r>
    </w:p>
    <w:p>
      <w:pPr>
        <w:pStyle w:val="Heading2"/>
      </w:pPr>
      <w:r>
        <w:t>Regeste</w:t>
      </w:r>
    </w:p>
    <w:p>
      <w:r>
        <w:t>Regeste Art. 286 StGB; Hinderung einer Amtshandlung. Die Hinderung einer Amtshandlung ist ein Erfolgsdelikt und setzt voraus, dass der Täter ohne Gewaltanwendung oder Drohung einer Behörde oder einem Beamten die Vornahme einer Amtshandlung erschwert (E. 2a). Mittäterschaft. Wer die Tat eines andern bloss will, sie billigt, ist nicht Mittäter; zusätzlich muss er bei der Entschliessung, Planung oder Ausführung des Delikts tatsächlich mitwirken (E. 2b). Unterlassung. Durch Unterlassen kann ein Erfolgsdelikt nur begangen werden, wenn der Täter schuldhaft eine Handlung unterlässt, zu der er rechtlich verpflichtet ist; es gibt keine allgemeine Pflicht, jemanden am Delinquieren zu hindern (E. 2b). Art. 63 StGB; Strafzumessung; Begründungspflicht; übermässig harte Strafe. Die Urteilsbegründung muss die ausgefällte Strafe rechtfertigen. Wenn bei der Lektüre des angefochtenen Entscheids die Strafe übertrieben hart erscheint, ist entweder die Begründung mangelhaft oder die Strafe übermässig hart, welche Frage der Kassationshof nicht notwendigerweise entscheiden muss (E. 3a). Der Richter hat der Wertskala der geschützten Rechtsgüter Rechnung zu tragen. Einen grossen Unterschied in der Strafhöhe zweier Mittäter, denen im wesentlichen die gleichen Delikte vorgeworfen werden, muss er begründen (E. 3b).</w:t>
      </w:r>
    </w:p>
    <w:p>
      <w:pPr>
        <w:pStyle w:val="Heading2"/>
      </w:pPr>
      <w:r>
        <w:t>Erwägungen</w:t>
      </w:r>
    </w:p>
    <w:p>
      <w:r>
        <w:rPr>
          <w:b/>
        </w:rPr>
        <w:t>E. 2</w:t>
      </w:r>
    </w:p>
    <w:p>
      <w:r>
        <w:t>a) Le recourant soutient que les faits retenus à son encontre ne réalisent pas les conditions d'une opposition aux actes de l'autorité au sens de l' art. 286 CP . Selon cette disposition, "celui qui aura empêché une autorité, un membre d'une autorité ou un fonctionnaire de faire un acte entrant dans ses fonctions sera puni de l'emprisonnement pour un mois au plus ou de l'amende". Il s'agit d'une infraction de résultat (TRECHSEL, Kurzkommentar StGB, art. 286 no 1). Il n'est pas nécessaire que l'auteur empêche l'accomplissement de l'acte officiel, il suffit qu'il le rende plus difficile, l'entrave ou le diffère ( ATF 103 IV 186 consid. 4, ATF 90 IV 137 ss, ATF 85 IV 142 consid. 2, ATF 74 IV 57 consid. 4, ATF 71 IV 101 ss; HAUSER/REHBERG, Strafrecht IV p. 265; STRATENWERTH, Bes. Teil II p. 282 no 9). L'infraction se distingue de celle prévue par l' art. 285 CP en ce que l'auteur ne recourt ni à la violence, ni à la menace; elle se distingue également de celle prévue par l' art. 292 CP , parce qu'une simple désobéissance ne suffit pas; pour qu'il y ait opposition aux actes de l'autorité au sens de l' art. 286 CP , il faut que l'auteur, par son comportement, entrave l'autorité ou le fonctionnaire dans l'accomplissement d'un acte officiel; il ne suffirait pas qu'il se borne à ne pas obtempérer à un ordre qui lui est donné, par exemple de souffler dans l'éthylomètre, de parler moins fort ou de ne pas conduire ( ATF 110 IV 92 consid. b, ATF 81 IV 163 consid. 2, ATF 69 IV 1 consid. 2; TRECHSEL, op.cit., art. 286 note 3; HAUSER/REHBERG, op.cit., p. 265; STRATENWERTH, op.cit., BGE 120 IV 136 S. 140 p. 282 no 9). Exprimer son désaccord à l'endroit d'un acte entrepris par un fonctionnaire, mais sans l'entraver, ne suffit pas ( ATF 105 IV 48 consid. 3). L' art. 286 CP n'est pas applicable si l'acte officiel n'est pas entravé, mais que l'auteur empêche qu'il atteigne le résultat escompté, par exemple en prévenant les automobilistes d'un contrôle radar ( ATF 104 IV 288 consid. 3b, ATF 103 IV 186 consid. 4 et 5). L' art. 286 CP vise une résistance sans violence ni menace, qui implique cependant une certaine activité (HAUSER/REHBERG, op.cit., p. 264). Il a été jugé que le fait de prendre la fuite, par exemple pour empêcher un fonctionnaire compétent de fouiller un coffre, constituait un comportement actif réalisant l'infraction ( ATF 103 IV 247 consid. 6b, ATF 85 IV 142 consid. 2; TRECHSEL, op.cit., art. 286 no 6; STRATENWERTH, op.cit., p. 282 no 9). La jurisprudence a laissé ouverte la question de savoir si l'infraction pourrait être réalisée par un comportement purement passif, c'est-à-dire une abstention ( ATF 103 IV 247 consid. 6b); dans un arrêt plus récent, elle ne l'a pas exclu ( ATF 107 IV 113 consid. 4d). La doctrine estime qu'une omission ne pourrait suffire que si l'auteur était juridiquement obligé, indépendamment de l'acte officiel, d'écarter une entrave qu'il a créée et qu'il s'abstient de le faire (STRATENWERTH, op.cit., p. 283 no 10); la répression d'une simple omission implique une position de garant fondant un devoir juridique d'agir (TRECHSEL, op.cit., art. 286 no 4 et les références). Selon la jurisprudence, imposer sa présence dans une salle à l'effet d'empêcher une autorité d'y tenir séance constitue une opposition aux actes de l'autorité ( ATF 107 IV 113 consid. 4). Dans l' ATF 85 IV 142 consid. 2, il a été affirmé que l'interdiction de réprimer les actes d'autofavorisation ne s'appliquait qu'à l'hypothèse de l' art. 305 CP , et non pas à celle de l' art. 286 CP ; cette opinion est critiquée par la doctrine (STRATENWERTH, op.cit., p. 283 no 12; TRECHSEL, op.cit., art. 286 no 6 et les références citées). Il a été jugé que celui qui, pour empêcher l'arrestation de sa femme, ne dit pas où elle se trouve et prend la fuite ne commet pas l'infraction prévue par l' art. 286 CP parce qu'il n'a pas l'obligation juridique de collaborer à l'arrestation de son épouse ( ATF 103 IV 247 consid. 6c). b) En l'espèce, la cour cantonale a constaté - ce qui lie la Cour de cassation ( art. 277bis PPF ) - que le recourant était passager de la voiture lorsque le conducteur a décidé de forcer le passage, empêchant les policiers de procéder au contrôle qu'ils étaient en droit d'opérer. La cour BGE 120 IV 136 S. 141 cantonale n'a pas établi que le recourant aurait poussé le conducteur à agir ainsi ou qu'il l'aurait, par des actes ou des paroles, favorisé dans son action. Il est donc reproché au recourant un comportement purement passif, en tant que passager d'un véhicule qu'il ne pilotait pas. La première question que l'on peut se poser, dans ce contexte, est de savoir si le recourant ne devrait pas être considéré comme coauteur de l'infraction commise par le conducteur. Le coauteur est celui qui collabore intentionnellement et de manière déterminante avec d'autres personnes dans la décision de commettre une infraction, dans son organisation ou son exécution, au point d'apparaître comme l'un des participants principaux ( ATF 118 IV 397 consid. 2b, 227 consid. 5c/aa, ATF 115 IV 161 consid. 2 et les arrêts cités). Cependant, la seule volonté ne suffit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ATF 118 IV 397 consid. 2b, 227 consid. 5c/aa et les références citées). Or, en l'espèce, il ne ressort nullement de l'état de fait retenu que le recourant aurait, par des actes ou des paroles, participé à la prise de décision ou à la réalisation de l'acte lui-même. Ainsi, la coactivité est d'emblée exclue et il importe peu que le recourant ait ou non, en son for intérieur, approuvé le comportement du conducteur, puisque la coactivité ne peut pas être fondée sur la seule volonté, en l'absence de toute participation à la prise de décision, à l'organisation ou à l'exécution de l'infraction. Comme il n'est pas retenu non plus que le recourant aurait poussé le conducteur à agir ainsi, qu'il l'aurait encouragé ou favorisé d'une quelconque manière dans son action, l'instigation ( art. 24 CP ) ou la complicité ( art. 25 CP ) sont également exclues. D'ailleurs, la cour cantonale ne paraît pas avoir admis que le recourant était un participant principal ou accessoire à l'infraction commise par le conducteur. Dès lors qu'il est exclu de retenir que le recourant a participé à l'infraction commise par le conducteur, on ne voit pas comment il aurait lui-même commis une opposition aux actes de l'autorité au sens de l' art. 286 CP . En effet, en tant que passager de la voiture, il n'avait aucune maîtrise des événements et ce n'est pas son comportement personnel qui a empêché ou entravé le contrôle de police. Il importe peu qu'il ait eu ou non l'obligation juridique de s'y soumettre ou qu'il s'agisse ou non d'un BGE 120 IV 136 S. 142 acte d'autofavorisation non punissable; en effet, dès lors qu'il n'était que passager, le recourant n'avait aucune maîtrise des événements et ce n'est pas lui qui a empêché le contrôle de police. Le seul reproche qui pourrait lui être adressé est de ne pas avoir empêché le conducteur de commettre l'infraction. Il s'agirait alors de réprimer une omission. Or, une infraction de résultat ne peut être réalisée par omission que lorsque l'auteur omet par sa faute l'accomplissement d'un acte qu'il était juridiquement tenu d'accomplir ( ATF 117 IV 130 consid. 2a; cf. pour le cas voisin de l' art. 305 CP : ATF 117 IV 467 consid. 3). Or, il n'existe aucun devoir général obligeant les citoyens à dénoncer une infraction ou un fugitif, à renseigner la police ou à collaborer à une arrestation ( ATF 117 IV 467 consid. 3, ATF 103 IV 247 consid. 6c). Faute d'un devoir juridique d'agir, le comportement du passager d'une voiture qui n'empêche pas la commission d'une infraction par le conducteur ne constitue pas une omission punissable. Au demeurant, encore faudrait-il qu'en cas d'accomplissement de l'acte omis il eût été hautement vraisemblable que le résultat ne se serait pas produit ( ATF 118 IV 130 consid. 6a, ATF 115 IV 189 consid. 2) et on ne voit pas ce qu'aurait pu faire le recourant pour empêcher la réalisation du résultat. Ainsi, le comportement du recourant, tel qu'il a été retenu par la cour cantonale, ne réalise pas l'infraction prévue par l' art. 286 CP , de sorte que la condamnation prononcée de ce chef viole le droit fédéral. Le jugement attaqué doit donc être annulé sur ce point, mais les autres points du verdict, qui n'ont pas été remis en cause dans le pourvoi en nullité, restent acquis.</w:t>
      </w:r>
    </w:p>
    <w:p>
      <w:r>
        <w:rPr>
          <w:b/>
        </w:rPr>
        <w:t>E. 3</w:t>
      </w:r>
    </w:p>
    <w:p>
      <w:r>
        <w:t>a) L'une des infractions retenues devant être écartée, cela suffit pour annuler également la décision sur la peine; la question de la peine devra en effet faire l'objet d'une nouvelle décision de l'autorité cantonale, à laquelle il appartiendra d'exercer à nouveau son pouvoir d'appréciation en fonction du verdict modifié. Il faut cependant observer que l'infraction prévue par l' art. 286 CP n'est passible que d'un mois d'emprisonnement au maximum, de sorte que la modification du verdict ne peut logiquement avoir qu'une influence minime sur la quotité de la peine. Il se justifie donc, notamment pour des motifs d'économie de procédure, d'examiner brièvement les griefs du recourant concernant la peine ( ATF 119 IV 28 consid. 1, ATF 117 IV 401 consid. 2), sans toutefois trancher définitivement la question, dès lors que la cour cantonale est libre d'adopter une nouvelle motivation et de revoir dans son ensemble la peine infligée. BGE 120 IV 136 S. 143 Le recourant soutient que la peine est insuffisamment motivée et qu'elle est exagérément sévère. Les deux griefs sont étroitement liés. En effet, la motivation doit justifier la peine prononcée. Si, à la lecture de l'arrêt, la peine apparaît excessive, il faut en déduire soit que la cour cantonale n'a pas présenté l'argumentation qui puisse expliquer cette sévérité, soit que la peine est exagérée pour le cas d'espèce. Il n'appartient généralement pas à la Cour de cassation de trancher entre ces alternatives, puisqu'elle doit se borner à examiner la compatibilité de la décision attaquée avec le droit fédéral, sans avoir à rechercher elle-même dans le dossier si d'autres éléments auraient pu être invoqués pour justifier la décision rendue. En ce qui concerne plus précisément la motivation de la peine, nécessaire pour contrôler de quelle manière le droit fédéral a été appliqué ( art. 277 PPF ; RS 312.0), il faut rappeler que l'autorité n'est pas obligée de prendre position sur les moindres détails qui ont été plaidés et qu'elle peut passer sous silence les faits qui, sans arbitraire, lui paraissent à l'évidence non établis ou sans pertinence ( ATF 112 Ia 107 consid. 2b et la jurisprudence citée); le juge n'est nullement tenu d'exprimer en chiffres ou en pourcentages l'importance qu'il accorde à chacun des éléments qu'il cite; un pourvoi ne saurait d'ailleurs être admis simplement pour améliorer ou compléter un considérant lorsque la décision rendue apparaît conforme au droit ( ATF 118 IV 14 consid. 2 et la jurisprudence citée). Le juge doit cependant exposer,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la motivation doit justifier la peine prononcée, en permettant de suivre le raisonnement adopté, à savoir les éléments pris en compte et l'importance qui leur est accordée; plus la peine est élevée, plus la motivation doit être complète; cela vaut surtout lorsque la peine, dans le cadre légal, apparaît comparativement très élevée (cf. ATF 118 IV 14 consid. 2, 119 consid. 2b et la jurisprudence citée). Pour ce qui est de la fixation de la peine proprement dite, l' art. 63 CP , tout en exigeant que la peine soit fondée sur la faute,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BGE 120 IV 136 S. 144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118 IV 14 consid. 2, 21 consid. 2a et les arrêts cités). Les éléments pertinents pour la fixation de la peine ont été exposés de manière détaillée dans les ATF 117 IV 112 consid. 1 et ATF 116 IV 288 consid. 2a, de sorte qu'il n'y a pas lieu d'y revenir. Dans le contexte de la fixation de la peine, le recourant peut également faire valoir une inégalité de traitement ( ATF 116 IV 292 consid. 2; cf. également: ATF 117 IV 112 consid. 2b/cc, 401 consid. 4b). Compte tenu toutefois des nombreux paramètres qui interviennent dans la fixation de la peine, une comparaison avec des affaires concernant d'autres accusés et des faits différents est d'emblée délicate ( ATF 116 IV 292 ); il ne suffirait d'ailleurs pas que le recourant puisse citer un ou deux cas où une peine particulièrement clémente a été fixée pour prétendre à un droit à l'égalité de traitement (cf. ATF 114 Ib 238 consid. 4c, ATF 113 Ib 307 consid. 3, ATF 112 Ib 381 consid. 6 et les références). b) Dans une affaire concernant trois viols, le Tribunal fédéral n'a pas admis une peine de quinze ans de réclusion, considérant qu'elle correspondait à ce que l'on rencontre ordinairement en cas de meurtre ou d'assassinat et qu'elle devait être qualifiée d'extrêmement sévère, de sorte que seules des circonstances extraordinaires pouvaient la justifier ( ATF 117 IV 401 consid. 4). Cette jurisprudence est transposable, mutatis mutandis, au cas d'une peine de douze ans de réclusion pour des infractions contre le patrimoine. Certes, la peine encourue selon la loi n'exclut pas le prononcé d'une peine supérieure, mais il appartient au juge de tenir compte, dans le cadre de l' art. 63 CP , de l'ensemble des circonstances et notamment de la hiérarchie des intérêts juridiquement protégés. Une peine de douze ans de réclusion correspond à ce que l'on rencontre habituellement pour des homicides intentionnels, éventuellement de graves trafics de stupéfiants mettant en danger la santé de nombreuses personnes ou des viols répétés. Il apparaît d'emblée en l'espèce que le recourant n'a ni tué, ni blessé, ni violé, ni mis des personnes en danger de mort imminent. Il n'est pas rare de se trouver en présence d'un voleur par métier, au passé judiciaire chargé, qui BGE 120 IV 136 S. 145 se voit reprocher une longue série de cambriolages; trois hold-up pour un butin supérieur à un million de francs ne constituent pas un cas extraordinaire dans les annales judiciaires suisses; or, des affaires de ce genre donnent lieu généralement à des peines ne dépassant pas dix ans de réclusion. Pour prononcer une peine sortant ainsi de l'ordinaire, la cour cantonale devait démontrer l'existence de circonstances exceptionnelles. La motivation adoptée par la cour cantonale est succincte et tient, pour les circonstances concrètes, sur une demi-page environ. Il a été relevé que le recourant avait "choisi de mener sa vie dans la délinquance". Il ne semble pas que cette affirmation repose sur une déclaration de l'intéressé, mais bien plutôt sur un examen de son casier judiciaire, qui n'est d'ailleurs jamais exposé de manière précise dans l'arrêt; on ne peut cependant pas imaginer que des antécédents puissent conduire à une augmentation si massive de la peine, parce que cela reviendrait à condamner une deuxième fois pour des actes déjà jugés. La cour cantonale relève aussi qu'il est "le cerveau de l'affaire". Cette affirmation ne repose cependant pas sur les faits constatés, qui lient la cour de cassation ( art. 277bis PPF ), puisqu'il lui est attribué un rôle plutôt effacé de chauffeur, sans expliquer en quoi il serait le moteur de l'ensemble des actes, son comparse semblant au contraire avoir fait preuve de beaucoup de détermination. Surtout, l'arrêt attaqué ne permet pas de comprendre l'écart important entre la peine infligée au recourant et celle infligée à son comparse, fixée à neuf ans de réclusion. En effet, le comparse a été reconnu coupable, outre les infractions reprochées au recourant, d'autres infractions, dont la mise en danger de la vie d'autrui commise à Rochefort; par ailleurs, lors des brigandages, c'est le comparse qui n'a pas hésité à menacer les victimes à l'aide d'une arme chargée. On aurait donc pu s'attendre à ce qu'il soit condamné à une peine plus sévère que le recourant. Certes, le fait qu'il a passé aux aveux et que ses antécédents sont moins chargés pouvait, dans l'appréciation, compenser ces éléments. On ne saisit cependant pas comment l'écart a pu être inversé à ce point en défaveur du recourant. La cour cantonale évoque certes le fait qu'il était "le cerveau", mais sans fournir beaucoup d'explications à ce sujet; si l'on songe à la détermination qu'implique les actes accomplis par le comparse seul dans les établissements bancaires, on conçoit mal qu'il n'ait été qu'un jouet dans les mains du recourant; l'importance de la peine qui lui a été infligée confirme la gravité de sa faute, qui ne s'accommode pas de l'idée d'un être manipulé. BGE 120 IV 136 S. 146 En conséquence, la motivation adoptée par la cour cantonale ne suffit pas pour justifier la peine particulièrement lourde prononcée à l'encontre du recourant; il est d'ailleurs probable que cela ne tienne pas à la motivation choisie, mais bien au fait que la peine est exagérément sévère. Le pourvoi doit dès lors être admis et la cause renvoyée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